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第二学士学位报考执业资格事项知情同意书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eastAsia="仿宋_GB2312"/>
          <w:sz w:val="32"/>
          <w:szCs w:val="32"/>
          <w:highlight w:val="none"/>
        </w:rPr>
        <w:t>教育部办公厅关于在普通高校继续开展第二学士学位教育的通知》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相关要求，以及《中华人民共和国执业医师法《护士条例》《医师资格考试报名资格规定（2014版）》（国卫医发【2014】11号）和《护士执业资格考试办法》（卫生部、人力资源社会保障部令第74号）等相关规定，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2024</w:t>
      </w: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年长沙医学院招收的第二学士学位专业学制为二年，医学门类中临床医学、口腔医学、医学影像学、中医学、针灸推拿学、预防医学、护理学专业第二学士学位毕业生不能以该学历报考医师资格考试、护士资格考试；药学、医学检验技术、康复治疗学专业遵照国家相关职业资格考试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本人已知悉相关规定及要求，对无法以第二学士学位报考执业医师资格及护士资格认同并接受。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              年   月   日</w:t>
      </w:r>
    </w:p>
    <w:p>
      <w:pPr>
        <w:rPr>
          <w:highlight w:val="none"/>
        </w:rPr>
      </w:pPr>
    </w:p>
    <w:p>
      <w:pPr>
        <w:jc w:val="left"/>
        <w:rPr>
          <w:rFonts w:hint="eastAsia"/>
          <w:sz w:val="24"/>
          <w:szCs w:val="24"/>
          <w:highlight w:val="green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671" w:right="1417" w:bottom="1731" w:left="1417" w:header="992" w:footer="130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81"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－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7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－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81"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－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－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Tg1MmE3ODVmNDhkNWFlZDUzNTQ3ZTg3NDE2M2YifQ=="/>
  </w:docVars>
  <w:rsids>
    <w:rsidRoot w:val="1D132743"/>
    <w:rsid w:val="00D052F1"/>
    <w:rsid w:val="1D132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339</Characters>
  <Lines>0</Lines>
  <Paragraphs>0</Paragraphs>
  <TotalTime>0</TotalTime>
  <ScaleCrop>false</ScaleCrop>
  <LinksUpToDate>false</LinksUpToDate>
  <CharactersWithSpaces>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2023-04-27T06:53:00Z</dcterms:created>
  <dc:creator>卡卡西</dc:creator>
  <cp:lastModifiedBy>倩</cp:lastModifiedBy>
  <dcterms:modified xsi:type="dcterms:W3CDTF">2024-05-28T00:45:51Z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313F0497C6624BFDA6BD4236890356A5</vt:lpwstr>
  </property>
</Properties>
</file>